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39" w:rsidRPr="00453366" w:rsidRDefault="007B6E39" w:rsidP="007B6E39">
      <w:pPr>
        <w:rPr>
          <w:b/>
        </w:rPr>
      </w:pPr>
    </w:p>
    <w:p w:rsidR="00610ADB" w:rsidRPr="00453366" w:rsidRDefault="00610ADB" w:rsidP="00453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uto"/>
          <w:sz w:val="22"/>
          <w:szCs w:val="22"/>
        </w:rPr>
      </w:pPr>
      <w:r w:rsidRPr="00453366">
        <w:rPr>
          <w:b/>
          <w:color w:val="auto"/>
          <w:sz w:val="22"/>
          <w:szCs w:val="22"/>
        </w:rPr>
        <w:t xml:space="preserve">CONTENIDOS MÍNIMOS DEL TEMARIO DEL CURSO DE RENOVACIÓN DEL </w:t>
      </w:r>
    </w:p>
    <w:p w:rsidR="00610ADB" w:rsidRPr="00453366" w:rsidRDefault="00610ADB" w:rsidP="00453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uto"/>
          <w:sz w:val="22"/>
          <w:szCs w:val="22"/>
        </w:rPr>
      </w:pPr>
    </w:p>
    <w:p w:rsidR="00610ADB" w:rsidRPr="00453366" w:rsidRDefault="00610ADB" w:rsidP="00453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uto"/>
          <w:sz w:val="22"/>
          <w:szCs w:val="22"/>
        </w:rPr>
      </w:pPr>
      <w:r w:rsidRPr="00453366">
        <w:rPr>
          <w:b/>
          <w:color w:val="auto"/>
          <w:sz w:val="22"/>
          <w:szCs w:val="22"/>
        </w:rPr>
        <w:t>CARNÉ DE CUID</w:t>
      </w:r>
      <w:r w:rsidR="00453366">
        <w:rPr>
          <w:b/>
          <w:color w:val="auto"/>
          <w:sz w:val="22"/>
          <w:szCs w:val="22"/>
        </w:rPr>
        <w:t>ADOR DE PISCINAS DE USO PÚBLICO</w:t>
      </w:r>
    </w:p>
    <w:p w:rsidR="00453366" w:rsidRDefault="00453366" w:rsidP="00610ADB">
      <w:pPr>
        <w:rPr>
          <w:color w:val="auto"/>
          <w:sz w:val="22"/>
          <w:szCs w:val="22"/>
        </w:rPr>
      </w:pPr>
    </w:p>
    <w:p w:rsidR="00453366" w:rsidRDefault="00453366" w:rsidP="00610ADB">
      <w:pPr>
        <w:rPr>
          <w:color w:val="auto"/>
          <w:sz w:val="22"/>
          <w:szCs w:val="22"/>
        </w:rPr>
      </w:pPr>
    </w:p>
    <w:p w:rsidR="00453366" w:rsidRDefault="00610ADB" w:rsidP="00453366">
      <w:pPr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Los cursos de renovación </w:t>
      </w:r>
      <w:r w:rsidR="00453366">
        <w:rPr>
          <w:color w:val="auto"/>
          <w:sz w:val="22"/>
          <w:szCs w:val="22"/>
        </w:rPr>
        <w:t>se realizan en base a la Orden de 27 de noviembre de 2002 de la Consejería de Sanidad y Consumo, por la que se modifica la Orden de 16 de junio de 1997 de la Consejería de Sanidad y Política Social, por la que se establecen los requisitos del carné de cuidador de piscinas de uso colectivo de la Región de Murcia.</w:t>
      </w:r>
    </w:p>
    <w:p w:rsidR="00453366" w:rsidRDefault="00453366" w:rsidP="00453366">
      <w:pPr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Son</w:t>
      </w:r>
      <w:r w:rsidR="00610ADB">
        <w:rPr>
          <w:color w:val="auto"/>
          <w:sz w:val="22"/>
          <w:szCs w:val="22"/>
        </w:rPr>
        <w:t xml:space="preserve"> impartidos por entidades autorizadas por la </w:t>
      </w:r>
      <w:r>
        <w:rPr>
          <w:color w:val="auto"/>
          <w:sz w:val="22"/>
          <w:szCs w:val="22"/>
        </w:rPr>
        <w:t>Consejería</w:t>
      </w:r>
      <w:r w:rsidR="00610ADB">
        <w:rPr>
          <w:color w:val="auto"/>
          <w:sz w:val="22"/>
          <w:szCs w:val="22"/>
        </w:rPr>
        <w:t xml:space="preserve"> de Salud </w:t>
      </w:r>
      <w:hyperlink r:id="rId7" w:history="1">
        <w:r w:rsidRPr="00B86359">
          <w:rPr>
            <w:rStyle w:val="Hipervnculo"/>
            <w:sz w:val="22"/>
            <w:szCs w:val="22"/>
          </w:rPr>
          <w:t>https://www.murciasalud.es/documents/114975/5381034/469421-Entidades_autorizadas_curso_piscinas_renovacion_carne_2022.pdf/7ee6bc27-24ab-11e0-f3cd-f7e668616487?t=1689337929145</w:t>
        </w:r>
      </w:hyperlink>
      <w:r>
        <w:rPr>
          <w:color w:val="auto"/>
          <w:sz w:val="22"/>
          <w:szCs w:val="22"/>
        </w:rPr>
        <w:t xml:space="preserve"> </w:t>
      </w:r>
    </w:p>
    <w:p w:rsidR="00610ADB" w:rsidRDefault="00453366" w:rsidP="00453366">
      <w:pPr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</w:t>
      </w:r>
      <w:r w:rsidR="00610ADB">
        <w:rPr>
          <w:color w:val="auto"/>
          <w:sz w:val="22"/>
          <w:szCs w:val="22"/>
        </w:rPr>
        <w:t xml:space="preserve"> tendrán una duración </w:t>
      </w:r>
      <w:r>
        <w:rPr>
          <w:color w:val="auto"/>
          <w:sz w:val="22"/>
          <w:szCs w:val="22"/>
        </w:rPr>
        <w:t xml:space="preserve">mínima de </w:t>
      </w:r>
      <w:r w:rsidR="00610ADB">
        <w:rPr>
          <w:color w:val="auto"/>
          <w:sz w:val="22"/>
          <w:szCs w:val="22"/>
        </w:rPr>
        <w:t>10 horas.</w:t>
      </w:r>
    </w:p>
    <w:p w:rsidR="00AD2E93" w:rsidRDefault="00AD2E93" w:rsidP="00453366">
      <w:pPr>
        <w:spacing w:line="360" w:lineRule="auto"/>
        <w:ind w:firstLine="708"/>
        <w:rPr>
          <w:color w:val="auto"/>
          <w:sz w:val="22"/>
          <w:szCs w:val="22"/>
        </w:rPr>
      </w:pPr>
    </w:p>
    <w:p w:rsidR="00453366" w:rsidRDefault="00453366" w:rsidP="00453366">
      <w:pPr>
        <w:spacing w:line="360" w:lineRule="auto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Incluirá</w:t>
      </w:r>
      <w:r w:rsidR="00AD2E93">
        <w:rPr>
          <w:color w:val="auto"/>
          <w:sz w:val="22"/>
          <w:szCs w:val="22"/>
        </w:rPr>
        <w:t>n</w:t>
      </w:r>
      <w:r>
        <w:rPr>
          <w:color w:val="auto"/>
          <w:sz w:val="22"/>
          <w:szCs w:val="22"/>
        </w:rPr>
        <w:t xml:space="preserve"> al menos, una revisión de los siguientes temas:</w:t>
      </w:r>
    </w:p>
    <w:p w:rsidR="00610ADB" w:rsidRPr="00D31C0E" w:rsidRDefault="00610ADB" w:rsidP="00610ADB">
      <w:pPr>
        <w:rPr>
          <w:color w:val="auto"/>
          <w:sz w:val="22"/>
          <w:szCs w:val="22"/>
        </w:rPr>
      </w:pPr>
    </w:p>
    <w:p w:rsidR="00610ADB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 w:rsidRPr="00D31C0E">
        <w:rPr>
          <w:color w:val="auto"/>
          <w:sz w:val="22"/>
          <w:szCs w:val="22"/>
        </w:rPr>
        <w:t xml:space="preserve">Actualización de </w:t>
      </w:r>
      <w:smartTag w:uri="urn:schemas-microsoft-com:office:smarttags" w:element="PersonName">
        <w:smartTagPr>
          <w:attr w:name="ProductID" w:val="la Normativa"/>
        </w:smartTagPr>
        <w:r w:rsidRPr="00D31C0E">
          <w:rPr>
            <w:color w:val="auto"/>
            <w:sz w:val="22"/>
            <w:szCs w:val="22"/>
          </w:rPr>
          <w:t>la Normativa</w:t>
        </w:r>
      </w:smartTag>
      <w:r>
        <w:rPr>
          <w:color w:val="auto"/>
          <w:sz w:val="22"/>
          <w:szCs w:val="22"/>
        </w:rPr>
        <w:t xml:space="preserve"> aplicable</w:t>
      </w:r>
      <w:r>
        <w:rPr>
          <w:color w:val="auto"/>
          <w:sz w:val="22"/>
          <w:szCs w:val="22"/>
        </w:rPr>
        <w:t>.</w:t>
      </w:r>
    </w:p>
    <w:p w:rsidR="00610ADB" w:rsidRPr="00D31C0E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Enfermedades relacionadas con el uso de las piscinas.</w:t>
      </w:r>
    </w:p>
    <w:p w:rsidR="00610ADB" w:rsidRPr="00610ADB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Criterios de calidad del agua y aire.</w:t>
      </w:r>
    </w:p>
    <w:p w:rsidR="00610ADB" w:rsidRPr="00D31C0E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 w:rsidRPr="00D31C0E">
        <w:rPr>
          <w:color w:val="auto"/>
          <w:sz w:val="22"/>
          <w:szCs w:val="22"/>
        </w:rPr>
        <w:t>Problemas asociados a la calidad del agua. Tratamientos.</w:t>
      </w:r>
    </w:p>
    <w:p w:rsidR="00610ADB" w:rsidRPr="00D31C0E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 w:rsidRPr="00D31C0E">
        <w:rPr>
          <w:color w:val="auto"/>
          <w:sz w:val="22"/>
          <w:szCs w:val="22"/>
        </w:rPr>
        <w:t>Programa de Autocontrol.</w:t>
      </w:r>
    </w:p>
    <w:p w:rsidR="00610ADB" w:rsidRDefault="00610ADB" w:rsidP="00610ADB">
      <w:pPr>
        <w:numPr>
          <w:ilvl w:val="0"/>
          <w:numId w:val="1"/>
        </w:numPr>
        <w:spacing w:line="360" w:lineRule="auto"/>
        <w:ind w:left="714" w:hanging="357"/>
        <w:rPr>
          <w:color w:val="auto"/>
          <w:sz w:val="22"/>
          <w:szCs w:val="22"/>
        </w:rPr>
      </w:pPr>
      <w:r w:rsidRPr="00D31C0E">
        <w:rPr>
          <w:color w:val="auto"/>
          <w:sz w:val="22"/>
          <w:szCs w:val="22"/>
        </w:rPr>
        <w:t>Salud Laboral</w:t>
      </w:r>
      <w:r>
        <w:rPr>
          <w:color w:val="auto"/>
          <w:sz w:val="22"/>
          <w:szCs w:val="22"/>
        </w:rPr>
        <w:t>.</w:t>
      </w:r>
    </w:p>
    <w:p w:rsidR="00610ADB" w:rsidRDefault="00610ADB" w:rsidP="00610ADB">
      <w:pPr>
        <w:spacing w:line="360" w:lineRule="auto"/>
        <w:rPr>
          <w:color w:val="auto"/>
          <w:sz w:val="22"/>
          <w:szCs w:val="22"/>
        </w:rPr>
      </w:pPr>
    </w:p>
    <w:p w:rsidR="00610ADB" w:rsidRPr="00D31C0E" w:rsidRDefault="00610ADB" w:rsidP="00610ADB">
      <w:pPr>
        <w:spacing w:line="360" w:lineRule="auto"/>
        <w:rPr>
          <w:color w:val="auto"/>
          <w:sz w:val="22"/>
          <w:szCs w:val="22"/>
        </w:rPr>
      </w:pPr>
    </w:p>
    <w:p w:rsidR="00610ADB" w:rsidRPr="00D31C0E" w:rsidRDefault="00610ADB" w:rsidP="00610ADB">
      <w:pPr>
        <w:ind w:left="720"/>
        <w:rPr>
          <w:color w:val="auto"/>
          <w:sz w:val="22"/>
          <w:szCs w:val="22"/>
        </w:rPr>
      </w:pPr>
    </w:p>
    <w:p w:rsidR="00610ADB" w:rsidRPr="00D31C0E" w:rsidRDefault="00610ADB" w:rsidP="00B52F9A">
      <w:pPr>
        <w:rPr>
          <w:color w:val="auto"/>
          <w:sz w:val="22"/>
          <w:szCs w:val="22"/>
        </w:rPr>
      </w:pPr>
      <w:bookmarkStart w:id="0" w:name="_GoBack"/>
      <w:bookmarkEnd w:id="0"/>
    </w:p>
    <w:sectPr w:rsidR="00610ADB" w:rsidRPr="00D31C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CC" w:rsidRDefault="00C45BCC" w:rsidP="007B6E39">
      <w:r>
        <w:separator/>
      </w:r>
    </w:p>
  </w:endnote>
  <w:endnote w:type="continuationSeparator" w:id="0">
    <w:p w:rsidR="00C45BCC" w:rsidRDefault="00C45BCC" w:rsidP="007B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CC" w:rsidRDefault="00C45BCC" w:rsidP="007B6E39">
      <w:r>
        <w:separator/>
      </w:r>
    </w:p>
  </w:footnote>
  <w:footnote w:type="continuationSeparator" w:id="0">
    <w:p w:rsidR="00C45BCC" w:rsidRDefault="00C45BCC" w:rsidP="007B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967"/>
      <w:tblW w:w="11246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02"/>
      <w:gridCol w:w="6060"/>
      <w:gridCol w:w="3543"/>
      <w:gridCol w:w="141"/>
    </w:tblGrid>
    <w:tr w:rsidR="007B6E39" w:rsidTr="0095163F">
      <w:tc>
        <w:tcPr>
          <w:tcW w:w="1502" w:type="dxa"/>
          <w:shd w:val="clear" w:color="auto" w:fill="auto"/>
        </w:tcPr>
        <w:p w:rsidR="007B6E39" w:rsidRDefault="007B6E39" w:rsidP="007B6E39">
          <w:pPr>
            <w:pStyle w:val="Contenidodelatabla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551734" wp14:editId="7267E7D3">
                <wp:simplePos x="0" y="0"/>
                <wp:positionH relativeFrom="column">
                  <wp:posOffset>293370</wp:posOffset>
                </wp:positionH>
                <wp:positionV relativeFrom="paragraph">
                  <wp:posOffset>-34290</wp:posOffset>
                </wp:positionV>
                <wp:extent cx="485775" cy="951230"/>
                <wp:effectExtent l="0" t="0" r="9525" b="1270"/>
                <wp:wrapNone/>
                <wp:docPr id="6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60" w:type="dxa"/>
          <w:shd w:val="clear" w:color="auto" w:fill="auto"/>
        </w:tcPr>
        <w:p w:rsidR="007B6E39" w:rsidRDefault="007B6E39" w:rsidP="007B6E39">
          <w:pPr>
            <w:pStyle w:val="Encabezamiento"/>
            <w:tabs>
              <w:tab w:val="left" w:pos="1140"/>
            </w:tabs>
            <w:ind w:left="51"/>
            <w:jc w:val="center"/>
            <w:rPr>
              <w:b/>
              <w:bCs/>
              <w:sz w:val="20"/>
            </w:rPr>
          </w:pPr>
        </w:p>
        <w:p w:rsidR="007B6E39" w:rsidRPr="00610ADB" w:rsidRDefault="007B6E39" w:rsidP="007B6E39">
          <w:pPr>
            <w:pStyle w:val="Encabezamiento"/>
            <w:tabs>
              <w:tab w:val="clear" w:pos="8504"/>
              <w:tab w:val="left" w:pos="1140"/>
              <w:tab w:val="left" w:pos="4252"/>
            </w:tabs>
            <w:ind w:left="51"/>
            <w:rPr>
              <w:b/>
              <w:bCs/>
              <w:color w:val="auto"/>
              <w:sz w:val="20"/>
            </w:rPr>
          </w:pPr>
          <w:r w:rsidRPr="00610ADB">
            <w:rPr>
              <w:b/>
              <w:bCs/>
              <w:color w:val="auto"/>
              <w:sz w:val="20"/>
            </w:rPr>
            <w:t>Región de Murcia</w:t>
          </w:r>
          <w:r w:rsidRPr="00610ADB">
            <w:rPr>
              <w:b/>
              <w:bCs/>
              <w:color w:val="auto"/>
              <w:sz w:val="20"/>
            </w:rPr>
            <w:tab/>
          </w:r>
        </w:p>
        <w:p w:rsidR="007B6E39" w:rsidRPr="00610ADB" w:rsidRDefault="007B6E39" w:rsidP="007B6E39">
          <w:pPr>
            <w:pStyle w:val="Encabezamiento"/>
            <w:ind w:left="51"/>
            <w:rPr>
              <w:b/>
              <w:color w:val="auto"/>
            </w:rPr>
          </w:pPr>
          <w:r w:rsidRPr="00610ADB">
            <w:rPr>
              <w:b/>
              <w:bCs/>
              <w:color w:val="auto"/>
              <w:sz w:val="20"/>
            </w:rPr>
            <w:t>Consejería de Salud</w:t>
          </w:r>
        </w:p>
        <w:p w:rsidR="007B6E39" w:rsidRPr="00610ADB" w:rsidRDefault="007B6E39" w:rsidP="007B6E39">
          <w:pPr>
            <w:pStyle w:val="Encabezamiento"/>
            <w:ind w:left="51"/>
            <w:jc w:val="center"/>
            <w:rPr>
              <w:b/>
              <w:bCs/>
              <w:color w:val="auto"/>
              <w:sz w:val="18"/>
              <w:szCs w:val="18"/>
            </w:rPr>
          </w:pPr>
        </w:p>
        <w:p w:rsidR="007B6E39" w:rsidRPr="00610ADB" w:rsidRDefault="007B6E39" w:rsidP="007B6E39">
          <w:pPr>
            <w:pStyle w:val="Encabezamiento"/>
            <w:ind w:left="51"/>
            <w:rPr>
              <w:b/>
              <w:bCs/>
              <w:color w:val="auto"/>
              <w:sz w:val="18"/>
              <w:szCs w:val="18"/>
            </w:rPr>
          </w:pPr>
          <w:r w:rsidRPr="00610ADB">
            <w:rPr>
              <w:b/>
              <w:bCs/>
              <w:color w:val="auto"/>
              <w:sz w:val="18"/>
              <w:szCs w:val="18"/>
            </w:rPr>
            <w:t>Dirección General de Salud Pública y Adicciones</w:t>
          </w:r>
        </w:p>
        <w:p w:rsidR="003610AD" w:rsidRPr="00610ADB" w:rsidRDefault="007B6E39" w:rsidP="007B6E39">
          <w:pPr>
            <w:pStyle w:val="Encabezamiento"/>
            <w:ind w:left="51"/>
            <w:rPr>
              <w:b/>
              <w:bCs/>
              <w:color w:val="auto"/>
              <w:sz w:val="18"/>
              <w:szCs w:val="18"/>
            </w:rPr>
          </w:pPr>
          <w:r w:rsidRPr="00610ADB">
            <w:rPr>
              <w:b/>
              <w:bCs/>
              <w:color w:val="auto"/>
              <w:sz w:val="18"/>
              <w:szCs w:val="18"/>
            </w:rPr>
            <w:t>Subdirección General de Sa</w:t>
          </w:r>
          <w:r w:rsidR="003610AD" w:rsidRPr="00610ADB">
            <w:rPr>
              <w:b/>
              <w:bCs/>
              <w:color w:val="auto"/>
              <w:sz w:val="18"/>
              <w:szCs w:val="18"/>
            </w:rPr>
            <w:t>nidad</w:t>
          </w:r>
          <w:r w:rsidRPr="00610ADB">
            <w:rPr>
              <w:b/>
              <w:bCs/>
              <w:color w:val="auto"/>
              <w:sz w:val="18"/>
              <w:szCs w:val="18"/>
            </w:rPr>
            <w:t xml:space="preserve"> Ambiental</w:t>
          </w:r>
          <w:r w:rsidR="003610AD" w:rsidRPr="00610ADB">
            <w:rPr>
              <w:b/>
              <w:bCs/>
              <w:color w:val="auto"/>
              <w:sz w:val="18"/>
              <w:szCs w:val="18"/>
            </w:rPr>
            <w:t>,</w:t>
          </w:r>
        </w:p>
        <w:p w:rsidR="007B6E39" w:rsidRPr="00610ADB" w:rsidRDefault="003610AD" w:rsidP="007B6E39">
          <w:pPr>
            <w:pStyle w:val="Encabezamiento"/>
            <w:ind w:left="51"/>
            <w:rPr>
              <w:b/>
              <w:bCs/>
              <w:color w:val="auto"/>
              <w:sz w:val="18"/>
              <w:szCs w:val="18"/>
            </w:rPr>
          </w:pPr>
          <w:r w:rsidRPr="00610ADB">
            <w:rPr>
              <w:b/>
              <w:bCs/>
              <w:color w:val="auto"/>
              <w:sz w:val="18"/>
              <w:szCs w:val="18"/>
            </w:rPr>
            <w:t>Seguridad</w:t>
          </w:r>
          <w:r w:rsidR="007B6E39" w:rsidRPr="00610ADB">
            <w:rPr>
              <w:b/>
              <w:bCs/>
              <w:color w:val="auto"/>
              <w:sz w:val="18"/>
              <w:szCs w:val="18"/>
            </w:rPr>
            <w:t xml:space="preserve"> Alimentaria</w:t>
          </w:r>
          <w:r w:rsidRPr="00610ADB">
            <w:rPr>
              <w:b/>
              <w:bCs/>
              <w:color w:val="auto"/>
              <w:sz w:val="18"/>
              <w:szCs w:val="18"/>
            </w:rPr>
            <w:t xml:space="preserve"> y Laboratorio</w:t>
          </w:r>
        </w:p>
        <w:p w:rsidR="007B6E39" w:rsidRPr="00610ADB" w:rsidRDefault="007B6E39" w:rsidP="007B6E39">
          <w:pPr>
            <w:ind w:left="3" w:right="369"/>
            <w:rPr>
              <w:b/>
              <w:i/>
              <w:iCs/>
              <w:color w:val="auto"/>
              <w:sz w:val="18"/>
              <w:szCs w:val="18"/>
            </w:rPr>
          </w:pPr>
          <w:r w:rsidRPr="00610ADB">
            <w:rPr>
              <w:b/>
              <w:iCs/>
              <w:color w:val="auto"/>
              <w:sz w:val="18"/>
              <w:szCs w:val="18"/>
            </w:rPr>
            <w:t xml:space="preserve"> </w:t>
          </w:r>
          <w:r w:rsidRPr="00610ADB">
            <w:rPr>
              <w:b/>
              <w:i/>
              <w:iCs/>
              <w:color w:val="auto"/>
              <w:sz w:val="18"/>
              <w:szCs w:val="18"/>
            </w:rPr>
            <w:t>Servicio de Sanidad  Ambiental</w:t>
          </w:r>
        </w:p>
        <w:p w:rsidR="007B6E39" w:rsidRPr="00610ADB" w:rsidRDefault="007B6E39" w:rsidP="007B6E39">
          <w:pPr>
            <w:ind w:left="-481" w:right="370"/>
            <w:rPr>
              <w:b/>
              <w:iCs/>
              <w:color w:val="auto"/>
              <w:sz w:val="18"/>
              <w:szCs w:val="18"/>
            </w:rPr>
          </w:pPr>
          <w:r w:rsidRPr="00610ADB">
            <w:rPr>
              <w:b/>
              <w:iCs/>
              <w:color w:val="auto"/>
              <w:sz w:val="18"/>
              <w:szCs w:val="18"/>
            </w:rPr>
            <w:t xml:space="preserve">Telf.   </w:t>
          </w:r>
          <w:r w:rsidRPr="00610ADB">
            <w:rPr>
              <w:b/>
              <w:i/>
              <w:iCs/>
              <w:color w:val="auto"/>
              <w:sz w:val="18"/>
              <w:szCs w:val="18"/>
            </w:rPr>
            <w:t>968362577-968368953</w:t>
          </w:r>
        </w:p>
        <w:p w:rsidR="007B6E39" w:rsidRPr="00610ADB" w:rsidRDefault="007B6E39" w:rsidP="007B6E39">
          <w:pPr>
            <w:ind w:left="3" w:right="369"/>
            <w:rPr>
              <w:iCs/>
              <w:color w:val="auto"/>
              <w:sz w:val="18"/>
              <w:szCs w:val="18"/>
            </w:rPr>
          </w:pPr>
        </w:p>
        <w:p w:rsidR="007B6E39" w:rsidRPr="00700F98" w:rsidRDefault="007B6E39" w:rsidP="007B6E39">
          <w:pPr>
            <w:pStyle w:val="Encabezamiento"/>
            <w:ind w:left="51"/>
          </w:pPr>
        </w:p>
      </w:tc>
      <w:tc>
        <w:tcPr>
          <w:tcW w:w="3543" w:type="dxa"/>
          <w:shd w:val="clear" w:color="auto" w:fill="auto"/>
        </w:tcPr>
        <w:p w:rsidR="00BF2907" w:rsidRDefault="00BF2907" w:rsidP="007B6E39">
          <w:pPr>
            <w:ind w:right="370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1118023</wp:posOffset>
                </wp:positionH>
                <wp:positionV relativeFrom="margin">
                  <wp:posOffset>78105</wp:posOffset>
                </wp:positionV>
                <wp:extent cx="1048385" cy="952500"/>
                <wp:effectExtent l="0" t="0" r="0" b="0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242" t="17976" r="5501" b="29085"/>
                        <a:stretch/>
                      </pic:blipFill>
                      <pic:spPr bwMode="auto">
                        <a:xfrm>
                          <a:off x="0" y="0"/>
                          <a:ext cx="104838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F2907" w:rsidRDefault="00BF2907" w:rsidP="007B6E39">
          <w:pPr>
            <w:ind w:right="370"/>
            <w:jc w:val="center"/>
            <w:rPr>
              <w:noProof/>
            </w:rPr>
          </w:pPr>
        </w:p>
        <w:p w:rsidR="00BF2907" w:rsidRDefault="00BF2907" w:rsidP="007B6E39">
          <w:pPr>
            <w:ind w:right="370"/>
            <w:jc w:val="center"/>
            <w:rPr>
              <w:noProof/>
            </w:rPr>
          </w:pPr>
        </w:p>
        <w:p w:rsidR="007B6E39" w:rsidRPr="00477256" w:rsidRDefault="007B6E39" w:rsidP="007B6E39">
          <w:pPr>
            <w:ind w:right="370"/>
            <w:jc w:val="center"/>
            <w:rPr>
              <w:b/>
              <w:i/>
              <w:iCs/>
              <w:sz w:val="16"/>
              <w:szCs w:val="16"/>
            </w:rPr>
          </w:pPr>
        </w:p>
        <w:p w:rsidR="00D02221" w:rsidRDefault="00D02221" w:rsidP="007B6E39">
          <w:pPr>
            <w:ind w:left="-481" w:right="370"/>
            <w:jc w:val="center"/>
            <w:rPr>
              <w:noProof/>
            </w:rPr>
          </w:pPr>
        </w:p>
        <w:p w:rsidR="007B6E39" w:rsidRDefault="007B6E39" w:rsidP="007B6E39">
          <w:pPr>
            <w:ind w:left="-481" w:right="370"/>
            <w:jc w:val="center"/>
            <w:rPr>
              <w:b/>
              <w:i/>
              <w:iCs/>
              <w:sz w:val="16"/>
              <w:szCs w:val="16"/>
            </w:rPr>
          </w:pPr>
        </w:p>
        <w:p w:rsidR="007B6E39" w:rsidRPr="0032614C" w:rsidRDefault="007B6E39" w:rsidP="007B6E39">
          <w:pPr>
            <w:rPr>
              <w:sz w:val="16"/>
              <w:szCs w:val="16"/>
            </w:rPr>
          </w:pPr>
        </w:p>
        <w:p w:rsidR="007B6E39" w:rsidRDefault="007B6E39" w:rsidP="007B6E39">
          <w:pPr>
            <w:rPr>
              <w:sz w:val="16"/>
              <w:szCs w:val="16"/>
            </w:rPr>
          </w:pPr>
        </w:p>
        <w:p w:rsidR="007B6E39" w:rsidRPr="0032614C" w:rsidRDefault="007B6E39" w:rsidP="007B6E39">
          <w:pPr>
            <w:ind w:left="-387"/>
            <w:jc w:val="center"/>
            <w:rPr>
              <w:sz w:val="16"/>
              <w:szCs w:val="16"/>
            </w:rPr>
          </w:pPr>
        </w:p>
      </w:tc>
      <w:tc>
        <w:tcPr>
          <w:tcW w:w="141" w:type="dxa"/>
          <w:shd w:val="clear" w:color="auto" w:fill="auto"/>
          <w:vAlign w:val="center"/>
        </w:tcPr>
        <w:p w:rsidR="007B6E39" w:rsidRPr="00477256" w:rsidRDefault="007B6E39" w:rsidP="007B6E39">
          <w:pPr>
            <w:ind w:right="370"/>
            <w:jc w:val="right"/>
            <w:rPr>
              <w:b/>
            </w:rPr>
          </w:pPr>
        </w:p>
      </w:tc>
    </w:tr>
  </w:tbl>
  <w:p w:rsidR="007B6E39" w:rsidRDefault="007B6E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7BC1"/>
    <w:multiLevelType w:val="hybridMultilevel"/>
    <w:tmpl w:val="B6BE1B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B7730"/>
    <w:multiLevelType w:val="hybridMultilevel"/>
    <w:tmpl w:val="925085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DB"/>
    <w:rsid w:val="00021F24"/>
    <w:rsid w:val="00086E5C"/>
    <w:rsid w:val="00116C86"/>
    <w:rsid w:val="00133B6F"/>
    <w:rsid w:val="00133BD6"/>
    <w:rsid w:val="00142064"/>
    <w:rsid w:val="00213AB4"/>
    <w:rsid w:val="00276562"/>
    <w:rsid w:val="0032614C"/>
    <w:rsid w:val="003610AD"/>
    <w:rsid w:val="003F0B95"/>
    <w:rsid w:val="00453366"/>
    <w:rsid w:val="005162F9"/>
    <w:rsid w:val="005328EE"/>
    <w:rsid w:val="005A671C"/>
    <w:rsid w:val="005E4045"/>
    <w:rsid w:val="00610ADB"/>
    <w:rsid w:val="00784199"/>
    <w:rsid w:val="007867FB"/>
    <w:rsid w:val="007B6E39"/>
    <w:rsid w:val="008104B5"/>
    <w:rsid w:val="00850573"/>
    <w:rsid w:val="008843AE"/>
    <w:rsid w:val="008F5CA6"/>
    <w:rsid w:val="00957088"/>
    <w:rsid w:val="00972AAA"/>
    <w:rsid w:val="00974CD6"/>
    <w:rsid w:val="009B7C43"/>
    <w:rsid w:val="00A24C45"/>
    <w:rsid w:val="00A550C9"/>
    <w:rsid w:val="00AD2E93"/>
    <w:rsid w:val="00B47009"/>
    <w:rsid w:val="00B52F9A"/>
    <w:rsid w:val="00B76999"/>
    <w:rsid w:val="00B912EA"/>
    <w:rsid w:val="00BF2907"/>
    <w:rsid w:val="00C04473"/>
    <w:rsid w:val="00C45BCC"/>
    <w:rsid w:val="00CC1D08"/>
    <w:rsid w:val="00D02221"/>
    <w:rsid w:val="00DB019B"/>
    <w:rsid w:val="00DB61AC"/>
    <w:rsid w:val="00E268DF"/>
    <w:rsid w:val="00E44A68"/>
    <w:rsid w:val="00EB6795"/>
    <w:rsid w:val="00F05D12"/>
    <w:rsid w:val="00F31611"/>
    <w:rsid w:val="00F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DF2237-8A82-49BF-A934-D109CB35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DB"/>
    <w:pPr>
      <w:spacing w:after="0" w:line="240" w:lineRule="auto"/>
    </w:pPr>
    <w:rPr>
      <w:rFonts w:ascii="Arial" w:eastAsia="Times New Roman" w:hAnsi="Arial" w:cs="Times New Roman"/>
      <w:color w:val="FF00FF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miento">
    <w:name w:val="Encabezamiento"/>
    <w:basedOn w:val="Normal"/>
    <w:rsid w:val="005162F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5162F9"/>
    <w:pPr>
      <w:suppressLineNumbers/>
    </w:pPr>
  </w:style>
  <w:style w:type="paragraph" w:customStyle="1" w:styleId="Default">
    <w:name w:val="Default"/>
    <w:rsid w:val="00116C86"/>
    <w:pPr>
      <w:autoSpaceDE w:val="0"/>
      <w:autoSpaceDN w:val="0"/>
      <w:adjustRightInd w:val="0"/>
      <w:spacing w:after="0" w:line="240" w:lineRule="auto"/>
    </w:pPr>
    <w:rPr>
      <w:rFonts w:ascii="Arial" w:eastAsia="Lucida Sans Unicode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68D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B6E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E39"/>
    <w:rPr>
      <w:rFonts w:ascii="Arial" w:eastAsia="Times New Roman" w:hAnsi="Arial" w:cs="Arial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B6E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E39"/>
    <w:rPr>
      <w:rFonts w:ascii="Arial" w:eastAsia="Times New Roman" w:hAnsi="Arial" w:cs="Arial"/>
      <w:sz w:val="24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453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urciasalud.es/documents/114975/5381034/469421-Entidades_autorizadas_curso_piscinas_renovacion_carne_2022.pdf/7ee6bc27-24ab-11e0-f3cd-f7e668616487?t=1689337929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LANTILLA%20A&#209;O%20JUBILAR%20NUEVA%20SUBDIRECCI&#211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AÑO JUBILAR NUEVA SUBDIRECCIÓN.dotx</Template>
  <TotalTime>19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DIAZ, MARIA JOSE</dc:creator>
  <cp:keywords/>
  <dc:description/>
  <cp:lastModifiedBy>HERRERA DIAZ, MARIA JOSE</cp:lastModifiedBy>
  <cp:revision>3</cp:revision>
  <cp:lastPrinted>2021-12-20T09:45:00Z</cp:lastPrinted>
  <dcterms:created xsi:type="dcterms:W3CDTF">2024-03-14T12:46:00Z</dcterms:created>
  <dcterms:modified xsi:type="dcterms:W3CDTF">2024-03-14T13:05:00Z</dcterms:modified>
</cp:coreProperties>
</file>